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proofErr w:type="gramStart"/>
      <w:r w:rsidRPr="001A347E">
        <w:rPr>
          <w:rFonts w:ascii="Arial" w:eastAsia="Times New Roman" w:hAnsi="Arial" w:cs="Arial"/>
          <w:color w:val="0B0C0C"/>
          <w:sz w:val="20"/>
          <w:szCs w:val="20"/>
        </w:rPr>
        <w:t>Farming Working Group report for March 2022.</w:t>
      </w:r>
      <w:proofErr w:type="gramEnd"/>
    </w:p>
    <w:p w:rsidR="00933A51" w:rsidRDefault="00933A51"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Farm input prices have all go</w:t>
      </w:r>
      <w:r w:rsidR="001A347E">
        <w:rPr>
          <w:rFonts w:ascii="Arial" w:eastAsia="Times New Roman" w:hAnsi="Arial" w:cs="Arial"/>
          <w:color w:val="0B0C0C"/>
          <w:sz w:val="20"/>
          <w:szCs w:val="20"/>
        </w:rPr>
        <w:t>ne mad in the last week and</w:t>
      </w:r>
      <w:r w:rsidRPr="001A347E">
        <w:rPr>
          <w:rFonts w:ascii="Arial" w:eastAsia="Times New Roman" w:hAnsi="Arial" w:cs="Arial"/>
          <w:color w:val="0B0C0C"/>
          <w:sz w:val="20"/>
          <w:szCs w:val="20"/>
        </w:rPr>
        <w:t xml:space="preserve"> if things turn up on </w:t>
      </w:r>
      <w:proofErr w:type="gramStart"/>
      <w:r w:rsidRPr="001A347E">
        <w:rPr>
          <w:rFonts w:ascii="Arial" w:eastAsia="Times New Roman" w:hAnsi="Arial" w:cs="Arial"/>
          <w:color w:val="0B0C0C"/>
          <w:sz w:val="20"/>
          <w:szCs w:val="20"/>
        </w:rPr>
        <w:t>time,</w:t>
      </w:r>
      <w:proofErr w:type="gramEnd"/>
      <w:r w:rsidR="00F84735" w:rsidRPr="001A347E">
        <w:rPr>
          <w:rFonts w:ascii="Arial" w:eastAsia="Times New Roman" w:hAnsi="Arial" w:cs="Arial"/>
          <w:color w:val="0B0C0C"/>
          <w:sz w:val="20"/>
          <w:szCs w:val="20"/>
        </w:rPr>
        <w:t xml:space="preserve"> there are</w:t>
      </w:r>
      <w:r w:rsidRPr="001A347E">
        <w:rPr>
          <w:rFonts w:ascii="Arial" w:eastAsia="Times New Roman" w:hAnsi="Arial" w:cs="Arial"/>
          <w:color w:val="0B0C0C"/>
          <w:sz w:val="20"/>
          <w:szCs w:val="20"/>
        </w:rPr>
        <w:t xml:space="preserve"> now extra delivery charges or excess charges. Just hope the things we produce start going up at the same rate.</w:t>
      </w:r>
      <w:r w:rsidR="001A347E">
        <w:rPr>
          <w:rFonts w:ascii="Arial" w:eastAsia="Times New Roman" w:hAnsi="Arial" w:cs="Arial"/>
          <w:color w:val="0B0C0C"/>
          <w:sz w:val="20"/>
          <w:szCs w:val="20"/>
        </w:rPr>
        <w:t xml:space="preserve"> Fat lambs have actually gone down in price.</w:t>
      </w:r>
      <w:r w:rsidRPr="001A347E">
        <w:rPr>
          <w:rFonts w:ascii="Arial" w:eastAsia="Times New Roman" w:hAnsi="Arial" w:cs="Arial"/>
          <w:color w:val="0B0C0C"/>
          <w:sz w:val="20"/>
          <w:szCs w:val="20"/>
        </w:rPr>
        <w:t xml:space="preserve"> The elec</w:t>
      </w:r>
      <w:r w:rsidR="001A347E">
        <w:rPr>
          <w:rFonts w:ascii="Arial" w:eastAsia="Times New Roman" w:hAnsi="Arial" w:cs="Arial"/>
          <w:color w:val="0B0C0C"/>
          <w:sz w:val="20"/>
          <w:szCs w:val="20"/>
        </w:rPr>
        <w:t>tric company would not quote</w:t>
      </w:r>
      <w:r w:rsidRPr="001A347E">
        <w:rPr>
          <w:rFonts w:ascii="Arial" w:eastAsia="Times New Roman" w:hAnsi="Arial" w:cs="Arial"/>
          <w:color w:val="0B0C0C"/>
          <w:sz w:val="20"/>
          <w:szCs w:val="20"/>
        </w:rPr>
        <w:t xml:space="preserve"> a price for the farm electric today</w:t>
      </w:r>
      <w:r w:rsidR="001A347E" w:rsidRPr="001A347E">
        <w:rPr>
          <w:rFonts w:ascii="Arial" w:eastAsia="Times New Roman" w:hAnsi="Arial" w:cs="Arial"/>
          <w:color w:val="0B0C0C"/>
          <w:sz w:val="20"/>
          <w:szCs w:val="20"/>
        </w:rPr>
        <w:t xml:space="preserve"> and red diesel for tractors has gone from 43.36ppl last February 2021 to £1.31ppl quoted 10th March for delivery 1-2 weeks if they can get stocks, but you would pay the rate on the day</w:t>
      </w:r>
      <w:r w:rsidRPr="001A347E">
        <w:rPr>
          <w:rFonts w:ascii="Arial" w:eastAsia="Times New Roman" w:hAnsi="Arial" w:cs="Arial"/>
          <w:color w:val="0B0C0C"/>
          <w:sz w:val="20"/>
          <w:szCs w:val="20"/>
        </w:rPr>
        <w:t xml:space="preserve">. </w:t>
      </w:r>
      <w:r w:rsidR="001A347E">
        <w:rPr>
          <w:rFonts w:ascii="Arial" w:eastAsia="Times New Roman" w:hAnsi="Arial" w:cs="Arial"/>
          <w:color w:val="0B0C0C"/>
          <w:sz w:val="20"/>
          <w:szCs w:val="20"/>
        </w:rPr>
        <w:t xml:space="preserve">If tractors do not have fuel no crops will be planted or silage made. Fertilizer has gone over £1000.00 per </w:t>
      </w:r>
      <w:proofErr w:type="spellStart"/>
      <w:r w:rsidR="001A347E">
        <w:rPr>
          <w:rFonts w:ascii="Arial" w:eastAsia="Times New Roman" w:hAnsi="Arial" w:cs="Arial"/>
          <w:color w:val="0B0C0C"/>
          <w:sz w:val="20"/>
          <w:szCs w:val="20"/>
        </w:rPr>
        <w:t>tonne</w:t>
      </w:r>
      <w:proofErr w:type="spellEnd"/>
      <w:r w:rsidR="001A347E">
        <w:rPr>
          <w:rFonts w:ascii="Arial" w:eastAsia="Times New Roman" w:hAnsi="Arial" w:cs="Arial"/>
          <w:color w:val="0B0C0C"/>
          <w:sz w:val="20"/>
          <w:szCs w:val="20"/>
        </w:rPr>
        <w:t>.</w:t>
      </w:r>
    </w:p>
    <w:p w:rsidR="00A96CBC" w:rsidRPr="001A347E" w:rsidRDefault="00A96CBC" w:rsidP="004C3B09">
      <w:pPr>
        <w:spacing w:before="100" w:beforeAutospacing="1" w:after="100" w:afterAutospacing="1" w:line="240" w:lineRule="auto"/>
        <w:rPr>
          <w:rFonts w:ascii="Arial" w:eastAsia="Times New Roman" w:hAnsi="Arial" w:cs="Arial"/>
          <w:color w:val="0B0C0C"/>
          <w:sz w:val="20"/>
          <w:szCs w:val="20"/>
        </w:rPr>
      </w:pPr>
      <w:r>
        <w:rPr>
          <w:rFonts w:ascii="Arial" w:eastAsia="Times New Roman" w:hAnsi="Arial" w:cs="Arial"/>
          <w:color w:val="0B0C0C"/>
          <w:sz w:val="20"/>
          <w:szCs w:val="20"/>
        </w:rPr>
        <w:t xml:space="preserve">This passage </w:t>
      </w:r>
      <w:proofErr w:type="gramStart"/>
      <w:r>
        <w:rPr>
          <w:rFonts w:ascii="Arial" w:eastAsia="Times New Roman" w:hAnsi="Arial" w:cs="Arial"/>
          <w:color w:val="0B0C0C"/>
          <w:sz w:val="20"/>
          <w:szCs w:val="20"/>
        </w:rPr>
        <w:t>below  was</w:t>
      </w:r>
      <w:proofErr w:type="gramEnd"/>
      <w:r>
        <w:rPr>
          <w:rFonts w:ascii="Arial" w:eastAsia="Times New Roman" w:hAnsi="Arial" w:cs="Arial"/>
          <w:color w:val="0B0C0C"/>
          <w:sz w:val="20"/>
          <w:szCs w:val="20"/>
        </w:rPr>
        <w:t xml:space="preserve"> taken from the Government Future Farming blog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Some farming and land management activities are regulated to safeguard our environment and to protect the health of animals, plants and people.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We do this through around 150 pieces of legislation, comprising primary legislation (such as the </w:t>
      </w:r>
      <w:hyperlink r:id="rId5" w:tgtFrame="_blank" w:history="1">
        <w:r w:rsidRPr="001A347E">
          <w:rPr>
            <w:rFonts w:ascii="Arial" w:eastAsia="Times New Roman" w:hAnsi="Arial" w:cs="Arial"/>
            <w:color w:val="1D70B8"/>
            <w:sz w:val="20"/>
            <w:szCs w:val="20"/>
            <w:u w:val="single"/>
          </w:rPr>
          <w:t>Agriculture Act 2020</w:t>
        </w:r>
      </w:hyperlink>
      <w:r w:rsidRPr="001A347E">
        <w:rPr>
          <w:rFonts w:ascii="Arial" w:eastAsia="Times New Roman" w:hAnsi="Arial" w:cs="Arial"/>
          <w:color w:val="0B0C0C"/>
          <w:sz w:val="20"/>
          <w:szCs w:val="20"/>
        </w:rPr>
        <w:t>) and secondary legislation (such as the </w:t>
      </w:r>
      <w:hyperlink r:id="rId6" w:tgtFrame="_blank" w:history="1">
        <w:r w:rsidRPr="001A347E">
          <w:rPr>
            <w:rFonts w:ascii="Arial" w:eastAsia="Times New Roman" w:hAnsi="Arial" w:cs="Arial"/>
            <w:color w:val="1D70B8"/>
            <w:sz w:val="20"/>
            <w:szCs w:val="20"/>
            <w:u w:val="single"/>
          </w:rPr>
          <w:t>Cattle Identification Regulations 2007</w:t>
        </w:r>
      </w:hyperlink>
      <w:r w:rsidRPr="001A347E">
        <w:rPr>
          <w:rFonts w:ascii="Arial" w:eastAsia="Times New Roman" w:hAnsi="Arial" w:cs="Arial"/>
          <w:color w:val="0B0C0C"/>
          <w:sz w:val="20"/>
          <w:szCs w:val="20"/>
        </w:rPr>
        <w:t>).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All of this legislation applies to agricultural activity, and collectively constitutes what is known as the ‘regulatory baseline for agriculture’.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This is a complex legislative picture and is not easy to navigate – we intend to improve and evolve this baseline in future as part of our agricultural transition outside of the European Union (EU).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There are around 119 pieces of legislation in the baseline which apply to the keeping of farmed animals, of which a substantial proportion covers disease prevention.</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 xml:space="preserve">Agriculture and </w:t>
      </w:r>
      <w:proofErr w:type="gramStart"/>
      <w:r w:rsidRPr="001A347E">
        <w:rPr>
          <w:rFonts w:ascii="Arial" w:eastAsia="Times New Roman" w:hAnsi="Arial" w:cs="Arial"/>
          <w:color w:val="0B0C0C"/>
          <w:sz w:val="20"/>
          <w:szCs w:val="20"/>
        </w:rPr>
        <w:t>Horticulture  44rules</w:t>
      </w:r>
      <w:proofErr w:type="gramEnd"/>
    </w:p>
    <w:p w:rsidR="004C3B09" w:rsidRPr="001A347E" w:rsidRDefault="0058673F" w:rsidP="004C3B09">
      <w:pPr>
        <w:spacing w:after="0" w:line="240" w:lineRule="auto"/>
        <w:rPr>
          <w:rFonts w:ascii="Arial" w:eastAsia="Times New Roman" w:hAnsi="Arial" w:cs="Arial"/>
          <w:noProof/>
          <w:color w:val="0B0C0C"/>
          <w:sz w:val="20"/>
          <w:szCs w:val="20"/>
        </w:rPr>
      </w:pPr>
      <w:r w:rsidRPr="001A347E">
        <w:rPr>
          <w:rFonts w:ascii="Arial" w:eastAsia="Times New Roman" w:hAnsi="Arial" w:cs="Arial"/>
          <w:noProof/>
          <w:color w:val="0B0C0C"/>
          <w:sz w:val="20"/>
          <w:szCs w:val="20"/>
        </w:rPr>
        <w:t>Animals 119</w:t>
      </w:r>
      <w:r w:rsidR="004C3B09" w:rsidRPr="001A347E">
        <w:rPr>
          <w:rFonts w:ascii="Arial" w:eastAsia="Times New Roman" w:hAnsi="Arial" w:cs="Arial"/>
          <w:noProof/>
          <w:color w:val="0B0C0C"/>
          <w:sz w:val="20"/>
          <w:szCs w:val="20"/>
        </w:rPr>
        <w:t xml:space="preserve"> rules and 32 rules which cover both </w:t>
      </w:r>
    </w:p>
    <w:p w:rsidR="004C3B09" w:rsidRPr="001A347E" w:rsidRDefault="004C3B09" w:rsidP="004C3B09">
      <w:pPr>
        <w:spacing w:after="0" w:line="240" w:lineRule="auto"/>
        <w:rPr>
          <w:rFonts w:ascii="Arial" w:eastAsia="Times New Roman" w:hAnsi="Arial" w:cs="Arial"/>
          <w:noProof/>
          <w:color w:val="0B0C0C"/>
          <w:sz w:val="20"/>
          <w:szCs w:val="20"/>
        </w:rPr>
      </w:pPr>
    </w:p>
    <w:p w:rsidR="004C3B09" w:rsidRPr="001A347E" w:rsidRDefault="004C3B09" w:rsidP="004C3B09">
      <w:pPr>
        <w:spacing w:after="0"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Approximate composition of the legislation that forms the regulatory baseline</w:t>
      </w:r>
    </w:p>
    <w:p w:rsidR="004C3B09" w:rsidRPr="001A347E" w:rsidRDefault="004C3B09" w:rsidP="004C3B09">
      <w:pPr>
        <w:spacing w:after="450" w:line="240" w:lineRule="auto"/>
        <w:outlineLvl w:val="1"/>
        <w:rPr>
          <w:rFonts w:ascii="Arial" w:eastAsia="Times New Roman" w:hAnsi="Arial" w:cs="Arial"/>
          <w:b/>
          <w:bCs/>
          <w:color w:val="0B0C0C"/>
          <w:sz w:val="20"/>
          <w:szCs w:val="20"/>
        </w:rPr>
      </w:pPr>
      <w:r w:rsidRPr="001A347E">
        <w:rPr>
          <w:rFonts w:ascii="Arial" w:eastAsia="Times New Roman" w:hAnsi="Arial" w:cs="Arial"/>
          <w:b/>
          <w:bCs/>
          <w:color w:val="0B0C0C"/>
          <w:sz w:val="20"/>
          <w:szCs w:val="20"/>
        </w:rPr>
        <w:t>The regulatory baseline and cross compliance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At the moment, farmers who receive </w:t>
      </w:r>
      <w:hyperlink r:id="rId7" w:tgtFrame="_blank" w:history="1">
        <w:r w:rsidRPr="001A347E">
          <w:rPr>
            <w:rFonts w:ascii="Arial" w:eastAsia="Times New Roman" w:hAnsi="Arial" w:cs="Arial"/>
            <w:color w:val="1D70B8"/>
            <w:sz w:val="20"/>
            <w:szCs w:val="20"/>
            <w:u w:val="single"/>
          </w:rPr>
          <w:t>Common Agricultural Payment</w:t>
        </w:r>
      </w:hyperlink>
      <w:r w:rsidRPr="001A347E">
        <w:rPr>
          <w:rFonts w:ascii="Arial" w:eastAsia="Times New Roman" w:hAnsi="Arial" w:cs="Arial"/>
          <w:color w:val="0B0C0C"/>
          <w:sz w:val="20"/>
          <w:szCs w:val="20"/>
        </w:rPr>
        <w:t xml:space="preserve"> (through Basic Payment Scheme or </w:t>
      </w:r>
      <w:proofErr w:type="spellStart"/>
      <w:r w:rsidRPr="001A347E">
        <w:rPr>
          <w:rFonts w:ascii="Arial" w:eastAsia="Times New Roman" w:hAnsi="Arial" w:cs="Arial"/>
          <w:color w:val="0B0C0C"/>
          <w:sz w:val="20"/>
          <w:szCs w:val="20"/>
        </w:rPr>
        <w:t>agri</w:t>
      </w:r>
      <w:proofErr w:type="spellEnd"/>
      <w:r w:rsidRPr="001A347E">
        <w:rPr>
          <w:rFonts w:ascii="Arial" w:eastAsia="Times New Roman" w:hAnsi="Arial" w:cs="Arial"/>
          <w:color w:val="0B0C0C"/>
          <w:sz w:val="20"/>
          <w:szCs w:val="20"/>
        </w:rPr>
        <w:t>-environment schemes) must meet minimum standards to receive those payments. These standards are collectively known as cross compliance.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 xml:space="preserve">When payments are delinked in 2024, we will stop using cross compliance as the main way to inspect </w:t>
      </w:r>
      <w:proofErr w:type="gramStart"/>
      <w:r w:rsidRPr="001A347E">
        <w:rPr>
          <w:rFonts w:ascii="Arial" w:eastAsia="Times New Roman" w:hAnsi="Arial" w:cs="Arial"/>
          <w:color w:val="0B0C0C"/>
          <w:sz w:val="20"/>
          <w:szCs w:val="20"/>
        </w:rPr>
        <w:t>farms,</w:t>
      </w:r>
      <w:proofErr w:type="gramEnd"/>
      <w:r w:rsidRPr="001A347E">
        <w:rPr>
          <w:rFonts w:ascii="Arial" w:eastAsia="Times New Roman" w:hAnsi="Arial" w:cs="Arial"/>
          <w:color w:val="0B0C0C"/>
          <w:sz w:val="20"/>
          <w:szCs w:val="20"/>
        </w:rPr>
        <w:t xml:space="preserve"> however the rules that form our regulatory baseline will continue to apply.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Most of the EU cross compliance rules and standards are already part of UK domestic law (the regulatory baseline) and will continue to apply to farmers after delinking in 2024, so farmers will continue to be required to comply with the rules.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 xml:space="preserve">While the majority of EU </w:t>
      </w:r>
      <w:proofErr w:type="gramStart"/>
      <w:r w:rsidRPr="001A347E">
        <w:rPr>
          <w:rFonts w:ascii="Arial" w:eastAsia="Times New Roman" w:hAnsi="Arial" w:cs="Arial"/>
          <w:color w:val="0B0C0C"/>
          <w:sz w:val="20"/>
          <w:szCs w:val="20"/>
        </w:rPr>
        <w:t>cross</w:t>
      </w:r>
      <w:proofErr w:type="gramEnd"/>
      <w:r w:rsidRPr="001A347E">
        <w:rPr>
          <w:rFonts w:ascii="Arial" w:eastAsia="Times New Roman" w:hAnsi="Arial" w:cs="Arial"/>
          <w:color w:val="0B0C0C"/>
          <w:sz w:val="20"/>
          <w:szCs w:val="20"/>
        </w:rPr>
        <w:t xml:space="preserve"> compliance rules are replicated in our regulatory baseline, we are aware of some gaps in protections</w:t>
      </w:r>
      <w:r w:rsidRPr="001A347E">
        <w:rPr>
          <w:rFonts w:ascii="Arial" w:eastAsia="Times New Roman" w:hAnsi="Arial" w:cs="Arial"/>
          <w:b/>
          <w:bCs/>
          <w:color w:val="0B0C0C"/>
          <w:sz w:val="20"/>
          <w:szCs w:val="20"/>
        </w:rPr>
        <w:t>. </w:t>
      </w:r>
      <w:r w:rsidRPr="001A347E">
        <w:rPr>
          <w:rFonts w:ascii="Arial" w:eastAsia="Times New Roman" w:hAnsi="Arial" w:cs="Arial"/>
          <w:color w:val="0B0C0C"/>
          <w:sz w:val="20"/>
          <w:szCs w:val="20"/>
        </w:rPr>
        <w:t>Where there are gaps, we are taking an evidence led approach to decide on the most effective ways to achieve our environmental goals.</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Over the next few months, we will continue to work closely with stakeholders to understand the impact of gaps and decide on next steps. We will consult ahead of any regulatory changes that are implemented. </w:t>
      </w:r>
    </w:p>
    <w:p w:rsidR="004C3B09" w:rsidRPr="001A347E" w:rsidRDefault="004C3B09" w:rsidP="004C3B09">
      <w:pPr>
        <w:spacing w:after="450" w:line="240" w:lineRule="auto"/>
        <w:outlineLvl w:val="1"/>
        <w:rPr>
          <w:rFonts w:ascii="Arial" w:eastAsia="Times New Roman" w:hAnsi="Arial" w:cs="Arial"/>
          <w:b/>
          <w:bCs/>
          <w:color w:val="0B0C0C"/>
          <w:sz w:val="20"/>
          <w:szCs w:val="20"/>
        </w:rPr>
      </w:pPr>
      <w:r w:rsidRPr="001A347E">
        <w:rPr>
          <w:rFonts w:ascii="Arial" w:eastAsia="Times New Roman" w:hAnsi="Arial" w:cs="Arial"/>
          <w:b/>
          <w:bCs/>
          <w:color w:val="0B0C0C"/>
          <w:sz w:val="20"/>
          <w:szCs w:val="20"/>
        </w:rPr>
        <w:t>The future regulatory baseline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 xml:space="preserve">We </w:t>
      </w:r>
      <w:proofErr w:type="spellStart"/>
      <w:r w:rsidRPr="001A347E">
        <w:rPr>
          <w:rFonts w:ascii="Arial" w:eastAsia="Times New Roman" w:hAnsi="Arial" w:cs="Arial"/>
          <w:color w:val="0B0C0C"/>
          <w:sz w:val="20"/>
          <w:szCs w:val="20"/>
        </w:rPr>
        <w:t>recognise</w:t>
      </w:r>
      <w:proofErr w:type="spellEnd"/>
      <w:r w:rsidRPr="001A347E">
        <w:rPr>
          <w:rFonts w:ascii="Arial" w:eastAsia="Times New Roman" w:hAnsi="Arial" w:cs="Arial"/>
          <w:color w:val="0B0C0C"/>
          <w:sz w:val="20"/>
          <w:szCs w:val="20"/>
        </w:rPr>
        <w:t xml:space="preserve"> that the current regulatory baseline, spread across 150 pieces of legislation, isn’t easy to understand and navigate.   </w:t>
      </w:r>
    </w:p>
    <w:p w:rsidR="004C3B09" w:rsidRPr="001A347E" w:rsidRDefault="004C3B09" w:rsidP="004C3B09">
      <w:pPr>
        <w:spacing w:before="100" w:beforeAutospacing="1" w:after="100" w:afterAutospacing="1" w:line="240" w:lineRule="auto"/>
        <w:rPr>
          <w:rFonts w:ascii="Arial" w:eastAsia="Times New Roman" w:hAnsi="Arial" w:cs="Arial"/>
          <w:color w:val="0B0C0C"/>
          <w:sz w:val="20"/>
          <w:szCs w:val="20"/>
        </w:rPr>
      </w:pPr>
      <w:r w:rsidRPr="001A347E">
        <w:rPr>
          <w:rFonts w:ascii="Arial" w:eastAsia="Times New Roman" w:hAnsi="Arial" w:cs="Arial"/>
          <w:color w:val="0B0C0C"/>
          <w:sz w:val="20"/>
          <w:szCs w:val="20"/>
        </w:rPr>
        <w:t>As we make improvements to the regulatory baseline, we will: </w:t>
      </w:r>
    </w:p>
    <w:p w:rsidR="004C3B09" w:rsidRPr="001A347E" w:rsidRDefault="004C3B09" w:rsidP="004C3B09">
      <w:pPr>
        <w:numPr>
          <w:ilvl w:val="0"/>
          <w:numId w:val="1"/>
        </w:numPr>
        <w:spacing w:before="100" w:beforeAutospacing="1" w:after="75" w:line="240" w:lineRule="auto"/>
        <w:rPr>
          <w:rFonts w:ascii="Arial" w:eastAsia="Times New Roman" w:hAnsi="Arial" w:cs="Arial"/>
          <w:color w:val="0B0C0C"/>
          <w:sz w:val="20"/>
          <w:szCs w:val="20"/>
        </w:rPr>
      </w:pPr>
      <w:proofErr w:type="spellStart"/>
      <w:r w:rsidRPr="001A347E">
        <w:rPr>
          <w:rFonts w:ascii="Arial" w:eastAsia="Times New Roman" w:hAnsi="Arial" w:cs="Arial"/>
          <w:b/>
          <w:bCs/>
          <w:color w:val="0B0C0C"/>
          <w:sz w:val="20"/>
          <w:szCs w:val="20"/>
        </w:rPr>
        <w:lastRenderedPageBreak/>
        <w:t>prioritise</w:t>
      </w:r>
      <w:proofErr w:type="spellEnd"/>
      <w:r w:rsidRPr="001A347E">
        <w:rPr>
          <w:rFonts w:ascii="Arial" w:eastAsia="Times New Roman" w:hAnsi="Arial" w:cs="Arial"/>
          <w:b/>
          <w:bCs/>
          <w:color w:val="0B0C0C"/>
          <w:sz w:val="20"/>
          <w:szCs w:val="20"/>
        </w:rPr>
        <w:t> </w:t>
      </w:r>
      <w:r w:rsidRPr="001A347E">
        <w:rPr>
          <w:rFonts w:ascii="Arial" w:eastAsia="Times New Roman" w:hAnsi="Arial" w:cs="Arial"/>
          <w:color w:val="0B0C0C"/>
          <w:sz w:val="20"/>
          <w:szCs w:val="20"/>
        </w:rPr>
        <w:t>addressing areas which are of greatest importance to meeting our commitments on the environment and animal health and welfare, in tandem with the development of our future farming incentive schemes that reward environmental land management approaches </w:t>
      </w:r>
    </w:p>
    <w:p w:rsidR="004C3B09" w:rsidRPr="001A347E" w:rsidRDefault="004C3B09" w:rsidP="004C3B09">
      <w:pPr>
        <w:numPr>
          <w:ilvl w:val="0"/>
          <w:numId w:val="1"/>
        </w:numPr>
        <w:spacing w:before="100" w:beforeAutospacing="1" w:after="75" w:line="240" w:lineRule="auto"/>
        <w:rPr>
          <w:rFonts w:ascii="Arial" w:eastAsia="Times New Roman" w:hAnsi="Arial" w:cs="Arial"/>
          <w:color w:val="0B0C0C"/>
          <w:sz w:val="20"/>
          <w:szCs w:val="20"/>
        </w:rPr>
      </w:pPr>
      <w:r w:rsidRPr="001A347E">
        <w:rPr>
          <w:rFonts w:ascii="Arial" w:eastAsia="Times New Roman" w:hAnsi="Arial" w:cs="Arial"/>
          <w:b/>
          <w:bCs/>
          <w:color w:val="0B0C0C"/>
          <w:sz w:val="20"/>
          <w:szCs w:val="20"/>
        </w:rPr>
        <w:t>use evidence</w:t>
      </w:r>
      <w:r w:rsidRPr="001A347E">
        <w:rPr>
          <w:rFonts w:ascii="Arial" w:eastAsia="Times New Roman" w:hAnsi="Arial" w:cs="Arial"/>
          <w:color w:val="0B0C0C"/>
          <w:sz w:val="20"/>
          <w:szCs w:val="20"/>
        </w:rPr>
        <w:t> to underpin our approach and explain why compliance is necessary </w:t>
      </w:r>
    </w:p>
    <w:p w:rsidR="004C3B09" w:rsidRPr="001A347E" w:rsidRDefault="004C3B09" w:rsidP="004C3B09">
      <w:pPr>
        <w:numPr>
          <w:ilvl w:val="0"/>
          <w:numId w:val="1"/>
        </w:numPr>
        <w:spacing w:before="100" w:beforeAutospacing="1" w:after="75" w:line="240" w:lineRule="auto"/>
        <w:rPr>
          <w:rFonts w:ascii="Arial" w:eastAsia="Times New Roman" w:hAnsi="Arial" w:cs="Arial"/>
          <w:color w:val="0B0C0C"/>
          <w:sz w:val="20"/>
          <w:szCs w:val="20"/>
        </w:rPr>
      </w:pPr>
      <w:r w:rsidRPr="001A347E">
        <w:rPr>
          <w:rFonts w:ascii="Arial" w:eastAsia="Times New Roman" w:hAnsi="Arial" w:cs="Arial"/>
          <w:b/>
          <w:bCs/>
          <w:color w:val="0B0C0C"/>
          <w:sz w:val="20"/>
          <w:szCs w:val="20"/>
        </w:rPr>
        <w:t>simplify </w:t>
      </w:r>
      <w:r w:rsidRPr="001A347E">
        <w:rPr>
          <w:rFonts w:ascii="Arial" w:eastAsia="Times New Roman" w:hAnsi="Arial" w:cs="Arial"/>
          <w:color w:val="0B0C0C"/>
          <w:sz w:val="20"/>
          <w:szCs w:val="20"/>
        </w:rPr>
        <w:t>regulation to remove duplication and overly burdensome processes </w:t>
      </w:r>
    </w:p>
    <w:p w:rsidR="004C3B09" w:rsidRPr="001A347E" w:rsidRDefault="004C3B09" w:rsidP="004C3B09">
      <w:pPr>
        <w:numPr>
          <w:ilvl w:val="0"/>
          <w:numId w:val="1"/>
        </w:numPr>
        <w:spacing w:before="100" w:beforeAutospacing="1" w:after="75" w:line="240" w:lineRule="auto"/>
        <w:rPr>
          <w:rFonts w:ascii="Arial" w:eastAsia="Times New Roman" w:hAnsi="Arial" w:cs="Arial"/>
          <w:color w:val="0B0C0C"/>
          <w:sz w:val="20"/>
          <w:szCs w:val="20"/>
        </w:rPr>
      </w:pPr>
      <w:r w:rsidRPr="001A347E">
        <w:rPr>
          <w:rFonts w:ascii="Arial" w:eastAsia="Times New Roman" w:hAnsi="Arial" w:cs="Arial"/>
          <w:b/>
          <w:bCs/>
          <w:color w:val="0B0C0C"/>
          <w:sz w:val="20"/>
          <w:szCs w:val="20"/>
        </w:rPr>
        <w:t>be proportionate</w:t>
      </w:r>
      <w:r w:rsidRPr="001A347E">
        <w:rPr>
          <w:rFonts w:ascii="Arial" w:eastAsia="Times New Roman" w:hAnsi="Arial" w:cs="Arial"/>
          <w:color w:val="0B0C0C"/>
          <w:sz w:val="20"/>
          <w:szCs w:val="20"/>
        </w:rPr>
        <w:t> so that regulation is fair and relevant to the diverse range of farms and environments across England </w:t>
      </w:r>
    </w:p>
    <w:p w:rsidR="004C3B09" w:rsidRPr="001A347E" w:rsidRDefault="004C3B09" w:rsidP="004C3B09">
      <w:pPr>
        <w:numPr>
          <w:ilvl w:val="0"/>
          <w:numId w:val="1"/>
        </w:numPr>
        <w:spacing w:before="100" w:beforeAutospacing="1" w:after="75" w:line="240" w:lineRule="auto"/>
        <w:rPr>
          <w:rFonts w:ascii="Arial" w:eastAsia="Times New Roman" w:hAnsi="Arial" w:cs="Arial"/>
          <w:color w:val="0B0C0C"/>
          <w:sz w:val="20"/>
          <w:szCs w:val="20"/>
        </w:rPr>
      </w:pPr>
      <w:r w:rsidRPr="001A347E">
        <w:rPr>
          <w:rFonts w:ascii="Arial" w:eastAsia="Times New Roman" w:hAnsi="Arial" w:cs="Arial"/>
          <w:b/>
          <w:bCs/>
          <w:color w:val="0B0C0C"/>
          <w:sz w:val="20"/>
          <w:szCs w:val="20"/>
        </w:rPr>
        <w:t>support and enable </w:t>
      </w:r>
      <w:r w:rsidRPr="001A347E">
        <w:rPr>
          <w:rFonts w:ascii="Arial" w:eastAsia="Times New Roman" w:hAnsi="Arial" w:cs="Arial"/>
          <w:color w:val="0B0C0C"/>
          <w:sz w:val="20"/>
          <w:szCs w:val="20"/>
        </w:rPr>
        <w:t>compliance with clear, user-friendly guidance </w:t>
      </w:r>
    </w:p>
    <w:p w:rsidR="0058673F" w:rsidRPr="001A347E" w:rsidRDefault="004C3B09" w:rsidP="0058673F">
      <w:pPr>
        <w:spacing w:after="450" w:line="240" w:lineRule="auto"/>
        <w:outlineLvl w:val="1"/>
        <w:rPr>
          <w:rFonts w:ascii="Arial" w:eastAsia="Times New Roman" w:hAnsi="Arial" w:cs="Arial"/>
          <w:b/>
          <w:bCs/>
          <w:color w:val="0B0C0C"/>
          <w:sz w:val="20"/>
          <w:szCs w:val="20"/>
        </w:rPr>
      </w:pPr>
      <w:r w:rsidRPr="001A347E">
        <w:rPr>
          <w:rFonts w:ascii="Arial" w:eastAsia="Times New Roman" w:hAnsi="Arial" w:cs="Arial"/>
          <w:b/>
          <w:bCs/>
          <w:color w:val="0B0C0C"/>
          <w:sz w:val="20"/>
          <w:szCs w:val="20"/>
        </w:rPr>
        <w:t>Next steps</w:t>
      </w:r>
    </w:p>
    <w:p w:rsidR="004C3B09" w:rsidRPr="001A347E" w:rsidRDefault="004C3B09" w:rsidP="0058673F">
      <w:pPr>
        <w:spacing w:after="450" w:line="240" w:lineRule="auto"/>
        <w:outlineLvl w:val="1"/>
        <w:rPr>
          <w:rFonts w:ascii="Arial" w:eastAsia="Times New Roman" w:hAnsi="Arial" w:cs="Arial"/>
          <w:b/>
          <w:bCs/>
          <w:color w:val="0B0C0C"/>
          <w:sz w:val="20"/>
          <w:szCs w:val="20"/>
        </w:rPr>
      </w:pPr>
      <w:r w:rsidRPr="001A347E">
        <w:rPr>
          <w:rFonts w:ascii="Arial" w:eastAsia="Times New Roman" w:hAnsi="Arial" w:cs="Arial"/>
          <w:color w:val="0B0C0C"/>
          <w:sz w:val="20"/>
          <w:szCs w:val="20"/>
        </w:rPr>
        <w:t>We will continue to work with farmers, land managers and stakeholders, so that you can tell us what needs to change in the regulatory baseline and why. Thank you to all those involved to date for your active engagement and support.  </w:t>
      </w:r>
    </w:p>
    <w:p w:rsidR="004C3B09" w:rsidRPr="004C3B09" w:rsidRDefault="004C3B09" w:rsidP="004C3B09">
      <w:pPr>
        <w:spacing w:before="100" w:beforeAutospacing="1" w:after="100" w:afterAutospacing="1" w:line="240" w:lineRule="auto"/>
        <w:rPr>
          <w:rFonts w:ascii="Arial" w:eastAsia="Times New Roman" w:hAnsi="Arial" w:cs="Arial"/>
          <w:color w:val="0B0C0C"/>
          <w:sz w:val="29"/>
          <w:szCs w:val="29"/>
        </w:rPr>
      </w:pPr>
      <w:r w:rsidRPr="004C3B09">
        <w:rPr>
          <w:rFonts w:ascii="Arial" w:eastAsia="Times New Roman" w:hAnsi="Arial" w:cs="Arial"/>
          <w:color w:val="0B0C0C"/>
          <w:sz w:val="29"/>
          <w:szCs w:val="29"/>
        </w:rPr>
        <w:t>  </w:t>
      </w:r>
    </w:p>
    <w:p w:rsidR="004C3B09" w:rsidRPr="004C3B09" w:rsidRDefault="004C3B09" w:rsidP="004C3B09">
      <w:pPr>
        <w:pBdr>
          <w:bottom w:val="single" w:sz="6" w:space="1" w:color="auto"/>
        </w:pBdr>
        <w:spacing w:after="0" w:line="240" w:lineRule="auto"/>
        <w:jc w:val="center"/>
        <w:rPr>
          <w:rFonts w:ascii="Arial" w:eastAsia="Times New Roman" w:hAnsi="Arial" w:cs="Arial"/>
          <w:vanish/>
          <w:sz w:val="16"/>
          <w:szCs w:val="16"/>
        </w:rPr>
      </w:pPr>
      <w:r w:rsidRPr="004C3B09">
        <w:rPr>
          <w:rFonts w:ascii="Arial" w:eastAsia="Times New Roman" w:hAnsi="Arial" w:cs="Arial"/>
          <w:vanish/>
          <w:sz w:val="16"/>
          <w:szCs w:val="16"/>
        </w:rPr>
        <w:t>Top of Form</w:t>
      </w:r>
    </w:p>
    <w:p w:rsidR="004C3B09" w:rsidRPr="004C3B09" w:rsidRDefault="004C3B09" w:rsidP="004C3B09">
      <w:pPr>
        <w:pBdr>
          <w:top w:val="single" w:sz="6" w:space="1" w:color="auto"/>
        </w:pBdr>
        <w:spacing w:after="0" w:line="240" w:lineRule="auto"/>
        <w:jc w:val="center"/>
        <w:rPr>
          <w:rFonts w:ascii="Arial" w:eastAsia="Times New Roman" w:hAnsi="Arial" w:cs="Arial"/>
          <w:vanish/>
          <w:sz w:val="16"/>
          <w:szCs w:val="16"/>
        </w:rPr>
      </w:pPr>
      <w:bookmarkStart w:id="0" w:name="comment_field"/>
      <w:bookmarkEnd w:id="0"/>
      <w:r w:rsidRPr="004C3B09">
        <w:rPr>
          <w:rFonts w:ascii="Arial" w:eastAsia="Times New Roman" w:hAnsi="Arial" w:cs="Arial"/>
          <w:vanish/>
          <w:sz w:val="16"/>
          <w:szCs w:val="16"/>
        </w:rPr>
        <w:t>Bottom of Form</w:t>
      </w:r>
    </w:p>
    <w:p w:rsidR="0063311C" w:rsidRDefault="0063311C"/>
    <w:sectPr w:rsidR="0063311C" w:rsidSect="004C3B0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D6E21"/>
    <w:multiLevelType w:val="multilevel"/>
    <w:tmpl w:val="8D8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822F28"/>
    <w:multiLevelType w:val="multilevel"/>
    <w:tmpl w:val="BD8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C3CE9"/>
    <w:multiLevelType w:val="multilevel"/>
    <w:tmpl w:val="FB2ED6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906C2"/>
    <w:multiLevelType w:val="multilevel"/>
    <w:tmpl w:val="D4A0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C66D03"/>
    <w:multiLevelType w:val="multilevel"/>
    <w:tmpl w:val="28BC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E44973"/>
    <w:multiLevelType w:val="multilevel"/>
    <w:tmpl w:val="E6B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B152EF"/>
    <w:multiLevelType w:val="multilevel"/>
    <w:tmpl w:val="A4D8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3B09"/>
    <w:rsid w:val="001A347E"/>
    <w:rsid w:val="004C3B09"/>
    <w:rsid w:val="0058673F"/>
    <w:rsid w:val="0063311C"/>
    <w:rsid w:val="00933A51"/>
    <w:rsid w:val="00A96CBC"/>
    <w:rsid w:val="00F66538"/>
    <w:rsid w:val="00F84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1C"/>
  </w:style>
  <w:style w:type="paragraph" w:styleId="Heading2">
    <w:name w:val="heading 2"/>
    <w:basedOn w:val="Normal"/>
    <w:link w:val="Heading2Char"/>
    <w:uiPriority w:val="9"/>
    <w:qFormat/>
    <w:rsid w:val="004C3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3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3B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B09"/>
    <w:rPr>
      <w:color w:val="0000FF"/>
      <w:u w:val="single"/>
    </w:rPr>
  </w:style>
  <w:style w:type="paragraph" w:customStyle="1" w:styleId="govuk-body">
    <w:name w:val="govuk-body"/>
    <w:basedOn w:val="Normal"/>
    <w:rsid w:val="004C3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uk-body-s">
    <w:name w:val="govuk-body-s"/>
    <w:basedOn w:val="Normal"/>
    <w:rsid w:val="004C3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B09"/>
    <w:rPr>
      <w:b/>
      <w:bCs/>
    </w:rPr>
  </w:style>
  <w:style w:type="character" w:customStyle="1" w:styleId="govuk-visually-hidden">
    <w:name w:val="govuk-visually-hidden"/>
    <w:basedOn w:val="DefaultParagraphFont"/>
    <w:rsid w:val="004C3B09"/>
  </w:style>
  <w:style w:type="character" w:customStyle="1" w:styleId="author">
    <w:name w:val="author"/>
    <w:basedOn w:val="DefaultParagraphFont"/>
    <w:rsid w:val="004C3B09"/>
  </w:style>
  <w:style w:type="paragraph" w:styleId="z-TopofForm">
    <w:name w:val="HTML Top of Form"/>
    <w:basedOn w:val="Normal"/>
    <w:next w:val="Normal"/>
    <w:link w:val="z-TopofFormChar"/>
    <w:hidden/>
    <w:uiPriority w:val="99"/>
    <w:semiHidden/>
    <w:unhideWhenUsed/>
    <w:rsid w:val="004C3B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3B09"/>
    <w:rPr>
      <w:rFonts w:ascii="Arial" w:eastAsia="Times New Roman" w:hAnsi="Arial" w:cs="Arial"/>
      <w:vanish/>
      <w:sz w:val="16"/>
      <w:szCs w:val="16"/>
    </w:rPr>
  </w:style>
  <w:style w:type="paragraph" w:customStyle="1" w:styleId="govuk-inset-text">
    <w:name w:val="govuk-inset-text"/>
    <w:basedOn w:val="Normal"/>
    <w:rsid w:val="004C3B0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C3B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3B0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C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481947">
      <w:bodyDiv w:val="1"/>
      <w:marLeft w:val="0"/>
      <w:marRight w:val="0"/>
      <w:marTop w:val="0"/>
      <w:marBottom w:val="0"/>
      <w:divBdr>
        <w:top w:val="none" w:sz="0" w:space="0" w:color="auto"/>
        <w:left w:val="none" w:sz="0" w:space="0" w:color="auto"/>
        <w:bottom w:val="none" w:sz="0" w:space="0" w:color="auto"/>
        <w:right w:val="none" w:sz="0" w:space="0" w:color="auto"/>
      </w:divBdr>
      <w:divsChild>
        <w:div w:id="1504511966">
          <w:marLeft w:val="0"/>
          <w:marRight w:val="0"/>
          <w:marTop w:val="0"/>
          <w:marBottom w:val="0"/>
          <w:divBdr>
            <w:top w:val="none" w:sz="0" w:space="0" w:color="auto"/>
            <w:left w:val="none" w:sz="0" w:space="0" w:color="auto"/>
            <w:bottom w:val="none" w:sz="0" w:space="0" w:color="auto"/>
            <w:right w:val="none" w:sz="0" w:space="0" w:color="auto"/>
          </w:divBdr>
          <w:divsChild>
            <w:div w:id="1569461456">
              <w:marLeft w:val="0"/>
              <w:marRight w:val="0"/>
              <w:marTop w:val="0"/>
              <w:marBottom w:val="0"/>
              <w:divBdr>
                <w:top w:val="none" w:sz="0" w:space="0" w:color="auto"/>
                <w:left w:val="none" w:sz="0" w:space="0" w:color="auto"/>
                <w:bottom w:val="none" w:sz="0" w:space="0" w:color="auto"/>
                <w:right w:val="none" w:sz="0" w:space="0" w:color="auto"/>
              </w:divBdr>
              <w:divsChild>
                <w:div w:id="1812284818">
                  <w:marLeft w:val="0"/>
                  <w:marRight w:val="0"/>
                  <w:marTop w:val="0"/>
                  <w:marBottom w:val="225"/>
                  <w:divBdr>
                    <w:top w:val="none" w:sz="0" w:space="0" w:color="auto"/>
                    <w:left w:val="none" w:sz="0" w:space="0" w:color="auto"/>
                    <w:bottom w:val="none" w:sz="0" w:space="0" w:color="auto"/>
                    <w:right w:val="none" w:sz="0" w:space="0" w:color="auto"/>
                  </w:divBdr>
                </w:div>
                <w:div w:id="806970354">
                  <w:marLeft w:val="0"/>
                  <w:marRight w:val="0"/>
                  <w:marTop w:val="450"/>
                  <w:marBottom w:val="0"/>
                  <w:divBdr>
                    <w:top w:val="none" w:sz="0" w:space="0" w:color="auto"/>
                    <w:left w:val="none" w:sz="0" w:space="0" w:color="auto"/>
                    <w:bottom w:val="none" w:sz="0" w:space="0" w:color="auto"/>
                    <w:right w:val="none" w:sz="0" w:space="0" w:color="auto"/>
                  </w:divBdr>
                  <w:divsChild>
                    <w:div w:id="904990052">
                      <w:marLeft w:val="0"/>
                      <w:marRight w:val="0"/>
                      <w:marTop w:val="0"/>
                      <w:marBottom w:val="0"/>
                      <w:divBdr>
                        <w:top w:val="none" w:sz="0" w:space="0" w:color="auto"/>
                        <w:left w:val="none" w:sz="0" w:space="0" w:color="auto"/>
                        <w:bottom w:val="none" w:sz="0" w:space="0" w:color="auto"/>
                        <w:right w:val="none" w:sz="0" w:space="0" w:color="auto"/>
                      </w:divBdr>
                    </w:div>
                  </w:divsChild>
                </w:div>
                <w:div w:id="1572079893">
                  <w:marLeft w:val="0"/>
                  <w:marRight w:val="189"/>
                  <w:marTop w:val="0"/>
                  <w:marBottom w:val="0"/>
                  <w:divBdr>
                    <w:top w:val="none" w:sz="0" w:space="0" w:color="auto"/>
                    <w:left w:val="none" w:sz="0" w:space="0" w:color="auto"/>
                    <w:bottom w:val="none" w:sz="0" w:space="0" w:color="auto"/>
                    <w:right w:val="none" w:sz="0" w:space="0" w:color="auto"/>
                  </w:divBdr>
                </w:div>
                <w:div w:id="291981405">
                  <w:marLeft w:val="0"/>
                  <w:marRight w:val="0"/>
                  <w:marTop w:val="450"/>
                  <w:marBottom w:val="450"/>
                  <w:divBdr>
                    <w:top w:val="none" w:sz="0" w:space="0" w:color="auto"/>
                    <w:left w:val="none" w:sz="0" w:space="0" w:color="auto"/>
                    <w:bottom w:val="none" w:sz="0" w:space="0" w:color="auto"/>
                    <w:right w:val="none" w:sz="0" w:space="0" w:color="auto"/>
                  </w:divBdr>
                </w:div>
                <w:div w:id="188568762">
                  <w:marLeft w:val="0"/>
                  <w:marRight w:val="0"/>
                  <w:marTop w:val="0"/>
                  <w:marBottom w:val="0"/>
                  <w:divBdr>
                    <w:top w:val="none" w:sz="0" w:space="0" w:color="auto"/>
                    <w:left w:val="none" w:sz="0" w:space="0" w:color="auto"/>
                    <w:bottom w:val="none" w:sz="0" w:space="0" w:color="auto"/>
                    <w:right w:val="none" w:sz="0" w:space="0" w:color="auto"/>
                  </w:divBdr>
                  <w:divsChild>
                    <w:div w:id="427391196">
                      <w:marLeft w:val="0"/>
                      <w:marRight w:val="0"/>
                      <w:marTop w:val="0"/>
                      <w:marBottom w:val="0"/>
                      <w:divBdr>
                        <w:top w:val="none" w:sz="0" w:space="0" w:color="auto"/>
                        <w:left w:val="none" w:sz="0" w:space="0" w:color="auto"/>
                        <w:bottom w:val="none" w:sz="0" w:space="0" w:color="auto"/>
                        <w:right w:val="none" w:sz="0" w:space="0" w:color="auto"/>
                      </w:divBdr>
                      <w:divsChild>
                        <w:div w:id="886992731">
                          <w:marLeft w:val="0"/>
                          <w:marRight w:val="0"/>
                          <w:marTop w:val="225"/>
                          <w:marBottom w:val="225"/>
                          <w:divBdr>
                            <w:top w:val="none" w:sz="0" w:space="0" w:color="auto"/>
                            <w:left w:val="none" w:sz="0" w:space="0" w:color="auto"/>
                            <w:bottom w:val="none" w:sz="0" w:space="0" w:color="auto"/>
                            <w:right w:val="none" w:sz="0" w:space="0" w:color="auto"/>
                          </w:divBdr>
                        </w:div>
                      </w:divsChild>
                    </w:div>
                    <w:div w:id="1995179642">
                      <w:marLeft w:val="0"/>
                      <w:marRight w:val="0"/>
                      <w:marTop w:val="0"/>
                      <w:marBottom w:val="0"/>
                      <w:divBdr>
                        <w:top w:val="none" w:sz="0" w:space="0" w:color="auto"/>
                        <w:left w:val="none" w:sz="0" w:space="0" w:color="auto"/>
                        <w:bottom w:val="none" w:sz="0" w:space="0" w:color="auto"/>
                        <w:right w:val="none" w:sz="0" w:space="0" w:color="auto"/>
                      </w:divBdr>
                      <w:divsChild>
                        <w:div w:id="2130657694">
                          <w:marLeft w:val="0"/>
                          <w:marRight w:val="0"/>
                          <w:marTop w:val="0"/>
                          <w:marBottom w:val="0"/>
                          <w:divBdr>
                            <w:top w:val="none" w:sz="0" w:space="0" w:color="auto"/>
                            <w:left w:val="none" w:sz="0" w:space="0" w:color="auto"/>
                            <w:bottom w:val="none" w:sz="0" w:space="0" w:color="auto"/>
                            <w:right w:val="none" w:sz="0" w:space="0" w:color="auto"/>
                          </w:divBdr>
                          <w:divsChild>
                            <w:div w:id="11292769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67989611">
                  <w:marLeft w:val="0"/>
                  <w:marRight w:val="0"/>
                  <w:marTop w:val="0"/>
                  <w:marBottom w:val="0"/>
                  <w:divBdr>
                    <w:top w:val="none" w:sz="0" w:space="0" w:color="auto"/>
                    <w:left w:val="none" w:sz="0" w:space="0" w:color="auto"/>
                    <w:bottom w:val="none" w:sz="0" w:space="0" w:color="auto"/>
                    <w:right w:val="none" w:sz="0" w:space="0" w:color="auto"/>
                  </w:divBdr>
                </w:div>
                <w:div w:id="1942638037">
                  <w:marLeft w:val="0"/>
                  <w:marRight w:val="0"/>
                  <w:marTop w:val="0"/>
                  <w:marBottom w:val="450"/>
                  <w:divBdr>
                    <w:top w:val="none" w:sz="0" w:space="0" w:color="auto"/>
                    <w:left w:val="none" w:sz="0" w:space="0" w:color="auto"/>
                    <w:bottom w:val="none" w:sz="0" w:space="0" w:color="auto"/>
                    <w:right w:val="none" w:sz="0" w:space="0" w:color="auto"/>
                  </w:divBdr>
                </w:div>
                <w:div w:id="210531916">
                  <w:marLeft w:val="0"/>
                  <w:marRight w:val="0"/>
                  <w:marTop w:val="0"/>
                  <w:marBottom w:val="0"/>
                  <w:divBdr>
                    <w:top w:val="none" w:sz="0" w:space="0" w:color="auto"/>
                    <w:left w:val="none" w:sz="0" w:space="0" w:color="auto"/>
                    <w:bottom w:val="none" w:sz="0" w:space="0" w:color="auto"/>
                    <w:right w:val="none" w:sz="0" w:space="0" w:color="auto"/>
                  </w:divBdr>
                </w:div>
              </w:divsChild>
            </w:div>
            <w:div w:id="733091580">
              <w:marLeft w:val="0"/>
              <w:marRight w:val="0"/>
              <w:marTop w:val="0"/>
              <w:marBottom w:val="0"/>
              <w:divBdr>
                <w:top w:val="none" w:sz="0" w:space="0" w:color="auto"/>
                <w:left w:val="none" w:sz="0" w:space="0" w:color="auto"/>
                <w:bottom w:val="none" w:sz="0" w:space="0" w:color="auto"/>
                <w:right w:val="none" w:sz="0" w:space="0" w:color="auto"/>
              </w:divBdr>
              <w:divsChild>
                <w:div w:id="1367171090">
                  <w:marLeft w:val="0"/>
                  <w:marRight w:val="0"/>
                  <w:marTop w:val="0"/>
                  <w:marBottom w:val="0"/>
                  <w:divBdr>
                    <w:top w:val="none" w:sz="0" w:space="0" w:color="auto"/>
                    <w:left w:val="none" w:sz="0" w:space="0" w:color="auto"/>
                    <w:bottom w:val="none" w:sz="0" w:space="0" w:color="auto"/>
                    <w:right w:val="none" w:sz="0" w:space="0" w:color="auto"/>
                  </w:divBdr>
                  <w:divsChild>
                    <w:div w:id="2023311939">
                      <w:marLeft w:val="0"/>
                      <w:marRight w:val="0"/>
                      <w:marTop w:val="0"/>
                      <w:marBottom w:val="0"/>
                      <w:divBdr>
                        <w:top w:val="none" w:sz="0" w:space="0" w:color="auto"/>
                        <w:left w:val="none" w:sz="0" w:space="0" w:color="auto"/>
                        <w:bottom w:val="none" w:sz="0" w:space="0" w:color="auto"/>
                        <w:right w:val="none" w:sz="0" w:space="0" w:color="auto"/>
                      </w:divBdr>
                      <w:divsChild>
                        <w:div w:id="1515653347">
                          <w:marLeft w:val="0"/>
                          <w:marRight w:val="0"/>
                          <w:marTop w:val="0"/>
                          <w:marBottom w:val="0"/>
                          <w:divBdr>
                            <w:top w:val="none" w:sz="0" w:space="0" w:color="auto"/>
                            <w:left w:val="none" w:sz="0" w:space="0" w:color="auto"/>
                            <w:bottom w:val="none" w:sz="0" w:space="0" w:color="auto"/>
                            <w:right w:val="none" w:sz="0" w:space="0" w:color="auto"/>
                          </w:divBdr>
                        </w:div>
                      </w:divsChild>
                    </w:div>
                    <w:div w:id="1185440894">
                      <w:marLeft w:val="0"/>
                      <w:marRight w:val="0"/>
                      <w:marTop w:val="0"/>
                      <w:marBottom w:val="0"/>
                      <w:divBdr>
                        <w:top w:val="none" w:sz="0" w:space="0" w:color="auto"/>
                        <w:left w:val="none" w:sz="0" w:space="0" w:color="auto"/>
                        <w:bottom w:val="none" w:sz="0" w:space="0" w:color="auto"/>
                        <w:right w:val="none" w:sz="0" w:space="0" w:color="auto"/>
                      </w:divBdr>
                      <w:divsChild>
                        <w:div w:id="5636875">
                          <w:marLeft w:val="0"/>
                          <w:marRight w:val="0"/>
                          <w:marTop w:val="0"/>
                          <w:marBottom w:val="450"/>
                          <w:divBdr>
                            <w:top w:val="none" w:sz="0" w:space="0" w:color="auto"/>
                            <w:left w:val="none" w:sz="0" w:space="0" w:color="auto"/>
                            <w:bottom w:val="none" w:sz="0" w:space="0" w:color="auto"/>
                            <w:right w:val="none" w:sz="0" w:space="0" w:color="auto"/>
                          </w:divBdr>
                        </w:div>
                      </w:divsChild>
                    </w:div>
                    <w:div w:id="1645424671">
                      <w:marLeft w:val="0"/>
                      <w:marRight w:val="0"/>
                      <w:marTop w:val="0"/>
                      <w:marBottom w:val="0"/>
                      <w:divBdr>
                        <w:top w:val="none" w:sz="0" w:space="0" w:color="auto"/>
                        <w:left w:val="none" w:sz="0" w:space="0" w:color="auto"/>
                        <w:bottom w:val="none" w:sz="0" w:space="0" w:color="auto"/>
                        <w:right w:val="none" w:sz="0" w:space="0" w:color="auto"/>
                      </w:divBdr>
                      <w:divsChild>
                        <w:div w:id="1653366166">
                          <w:marLeft w:val="0"/>
                          <w:marRight w:val="0"/>
                          <w:marTop w:val="0"/>
                          <w:marBottom w:val="450"/>
                          <w:divBdr>
                            <w:top w:val="none" w:sz="0" w:space="0" w:color="auto"/>
                            <w:left w:val="none" w:sz="0" w:space="0" w:color="auto"/>
                            <w:bottom w:val="none" w:sz="0" w:space="0" w:color="auto"/>
                            <w:right w:val="none" w:sz="0" w:space="0" w:color="auto"/>
                          </w:divBdr>
                        </w:div>
                      </w:divsChild>
                    </w:div>
                    <w:div w:id="257450036">
                      <w:marLeft w:val="0"/>
                      <w:marRight w:val="0"/>
                      <w:marTop w:val="0"/>
                      <w:marBottom w:val="0"/>
                      <w:divBdr>
                        <w:top w:val="none" w:sz="0" w:space="0" w:color="auto"/>
                        <w:left w:val="none" w:sz="0" w:space="0" w:color="auto"/>
                        <w:bottom w:val="none" w:sz="0" w:space="0" w:color="auto"/>
                        <w:right w:val="none" w:sz="0" w:space="0" w:color="auto"/>
                      </w:divBdr>
                    </w:div>
                    <w:div w:id="1234973421">
                      <w:marLeft w:val="0"/>
                      <w:marRight w:val="0"/>
                      <w:marTop w:val="0"/>
                      <w:marBottom w:val="0"/>
                      <w:divBdr>
                        <w:top w:val="none" w:sz="0" w:space="0" w:color="auto"/>
                        <w:left w:val="none" w:sz="0" w:space="0" w:color="auto"/>
                        <w:bottom w:val="none" w:sz="0" w:space="0" w:color="auto"/>
                        <w:right w:val="none" w:sz="0" w:space="0" w:color="auto"/>
                      </w:divBdr>
                      <w:divsChild>
                        <w:div w:id="1594044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38650482">
          <w:marLeft w:val="0"/>
          <w:marRight w:val="0"/>
          <w:marTop w:val="0"/>
          <w:marBottom w:val="0"/>
          <w:divBdr>
            <w:top w:val="none" w:sz="0" w:space="0" w:color="auto"/>
            <w:left w:val="none" w:sz="0" w:space="0" w:color="auto"/>
            <w:bottom w:val="none" w:sz="0" w:space="0" w:color="auto"/>
            <w:right w:val="none" w:sz="0" w:space="0" w:color="auto"/>
          </w:divBdr>
          <w:divsChild>
            <w:div w:id="1513302605">
              <w:marLeft w:val="-225"/>
              <w:marRight w:val="-225"/>
              <w:marTop w:val="0"/>
              <w:marBottom w:val="0"/>
              <w:divBdr>
                <w:top w:val="none" w:sz="0" w:space="0" w:color="auto"/>
                <w:left w:val="none" w:sz="0" w:space="0" w:color="auto"/>
                <w:bottom w:val="none" w:sz="0" w:space="0" w:color="auto"/>
                <w:right w:val="none" w:sz="0" w:space="0" w:color="auto"/>
              </w:divBdr>
              <w:divsChild>
                <w:div w:id="1311055943">
                  <w:marLeft w:val="225"/>
                  <w:marRight w:val="22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payments.defra.gov.uk/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07/529/contents/made" TargetMode="External"/><Relationship Id="rId5" Type="http://schemas.openxmlformats.org/officeDocument/2006/relationships/hyperlink" Target="https://www.legislation.gov.uk/ukpga/2020/21/contents/enac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2022-03-07T17:20:00Z</dcterms:created>
  <dcterms:modified xsi:type="dcterms:W3CDTF">2022-03-10T16:42:00Z</dcterms:modified>
</cp:coreProperties>
</file>